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F351" w14:textId="77777777" w:rsidR="00A463B6" w:rsidRPr="00A463B6" w:rsidRDefault="00A463B6" w:rsidP="00B354F7">
      <w:pPr>
        <w:jc w:val="center"/>
        <w:rPr>
          <w:b/>
        </w:rPr>
      </w:pPr>
    </w:p>
    <w:p w14:paraId="6059D5A8" w14:textId="21A51791" w:rsidR="00853C26" w:rsidRPr="002A262E" w:rsidRDefault="00B354F7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>FORMOLA GĦALL-KUNSENS TAL-PAZJENT ERN CPMS 2.0</w:t>
      </w:r>
    </w:p>
    <w:p w14:paraId="256434CE" w14:textId="1A3E542E" w:rsidR="00A463B6" w:rsidRPr="002A262E" w:rsidRDefault="00A463B6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>[Isem l-isptar]</w:t>
      </w:r>
    </w:p>
    <w:p w14:paraId="7DE8F5B0" w14:textId="77777777" w:rsidR="00B354F7" w:rsidRPr="00A463B6" w:rsidRDefault="00B354F7" w:rsidP="00B354F7">
      <w:pPr>
        <w:rPr>
          <w:b/>
        </w:rPr>
        <w:sectPr w:rsidR="00B354F7" w:rsidRPr="00A463B6" w:rsidSect="001018A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1F14D981" w14:textId="77777777" w:rsidR="00B354F7" w:rsidRPr="007D3FA0" w:rsidRDefault="00B354F7" w:rsidP="00B354F7">
      <w:pPr>
        <w:rPr>
          <w:b/>
        </w:rPr>
      </w:pPr>
      <w:r>
        <w:rPr>
          <w:b/>
          <w:color w:val="0070C0"/>
        </w:rPr>
        <w:t>X’INHUMA N-NETWORKS TA’ REFERENZA EWROPEJ U KIF JISTGĦU JGĦINUK?</w:t>
      </w:r>
    </w:p>
    <w:p w14:paraId="78124774" w14:textId="4D8F93AB" w:rsidR="00D453E1" w:rsidRPr="00C06539" w:rsidRDefault="00F02BE6" w:rsidP="00C37DFD">
      <w:pPr>
        <w:spacing w:line="240" w:lineRule="auto"/>
        <w:jc w:val="both"/>
      </w:pPr>
      <w:r>
        <w:t>In-Networks ta’ Referenza Ewropej (ERN, European Reference Networks) huma networks ta’ professjonisti fil-kura tas-saħħa li jaħdmu fuq il-mard rari fl-Ewropa. Permezz tal-ERN, il-professjonisti fil-kura tas-saħħa jkunu jistgħu jiddiskutu każijiet mediċi rari/kumplessi bħal tiegħek u jgħinu lit-tobba tiegħek jagħtu dijanjożi korretta jew jistabbilixxu pjan ta’ kura għall-problema ta’ saħħa li jkollok.</w:t>
      </w:r>
    </w:p>
    <w:p w14:paraId="00584B70" w14:textId="3ECAE167" w:rsidR="00853C26" w:rsidRDefault="00F02BE6" w:rsidP="00C37DFD">
      <w:pPr>
        <w:jc w:val="both"/>
      </w:pPr>
      <w:r>
        <w:t>Sabiex l-ERN jagħti parir lit-tobba tiegħek, id-</w:t>
      </w:r>
      <w:r>
        <w:rPr>
          <w:i/>
          <w:iCs/>
        </w:rPr>
        <w:t>data</w:t>
      </w:r>
      <w:r>
        <w:t xml:space="preserve"> rilevanti miġbura dwarek f’dan l-isptar trid tinqasam ma’ professjonisti fil-kura tas-saħħa fi sptarijiet oħra, li wħud minnhom jistgħu jkunu f’pajjiżi Ewropej oħrajn.</w:t>
      </w:r>
    </w:p>
    <w:p w14:paraId="1CFC6C76" w14:textId="77777777" w:rsidR="00D453E1" w:rsidRPr="00D453E1" w:rsidRDefault="00D453E1" w:rsidP="00D453E1">
      <w:pPr>
        <w:rPr>
          <w:b/>
          <w:color w:val="0070C0"/>
        </w:rPr>
      </w:pPr>
      <w:r>
        <w:rPr>
          <w:b/>
          <w:color w:val="0070C0"/>
        </w:rPr>
        <w:t xml:space="preserve">LIEMA </w:t>
      </w:r>
      <w:r>
        <w:rPr>
          <w:b/>
          <w:i/>
          <w:iCs/>
          <w:color w:val="0070C0"/>
        </w:rPr>
        <w:t>DATA</w:t>
      </w:r>
      <w:r>
        <w:rPr>
          <w:b/>
          <w:color w:val="0070C0"/>
        </w:rPr>
        <w:t xml:space="preserve"> TIĠI PROĊESSATA?</w:t>
      </w:r>
    </w:p>
    <w:p w14:paraId="75BBDAAC" w14:textId="42C0F949" w:rsidR="00D453E1" w:rsidRDefault="00D453E1" w:rsidP="00C37DFD">
      <w:pPr>
        <w:spacing w:line="240" w:lineRule="auto"/>
        <w:jc w:val="both"/>
      </w:pPr>
      <w:r>
        <w:t>Jekk tagħti kunsens espliċitu, id-</w:t>
      </w:r>
      <w:r>
        <w:rPr>
          <w:i/>
          <w:iCs/>
        </w:rPr>
        <w:t>data</w:t>
      </w:r>
      <w:r>
        <w:t xml:space="preserve"> dwar saħħtek se tiġi psewdonimizzata u tittella’ fuq pjattaforma tal-IT sigura bbażata fl-UE. Se tittella’ biss id-</w:t>
      </w:r>
      <w:r>
        <w:rPr>
          <w:i/>
          <w:iCs/>
        </w:rPr>
        <w:t>data</w:t>
      </w:r>
      <w:r>
        <w:t xml:space="preserve"> medika psewdonimizzata rilevanti għall-iskop ta’ dijanjożi u trattament tal-marda tiegħek. Din tista’ tinkludi l-età, is-sess, l-immaġnijiet mediċi, ir-rapporti tal-laboratorju u d-</w:t>
      </w:r>
      <w:r>
        <w:rPr>
          <w:i/>
          <w:iCs/>
        </w:rPr>
        <w:t>data</w:t>
      </w:r>
      <w:r>
        <w:t xml:space="preserve"> dwar il-kampjuni bijoloġiċi. Tista’ tinkludi wkoll l-istorja klinika tiegħek.</w:t>
      </w:r>
    </w:p>
    <w:p w14:paraId="2477EE0F" w14:textId="24003382" w:rsidR="00D453E1" w:rsidRDefault="00D453E1" w:rsidP="00C37DFD">
      <w:pPr>
        <w:spacing w:line="240" w:lineRule="auto"/>
        <w:jc w:val="both"/>
      </w:pPr>
      <w:r>
        <w:t>Dan iseħħ fi pjattaforma tal-IT sigura li tiżgura l-protezzjoni tad-</w:t>
      </w:r>
      <w:r>
        <w:rPr>
          <w:i/>
          <w:iCs/>
        </w:rPr>
        <w:t>data</w:t>
      </w:r>
      <w:r>
        <w:t xml:space="preserve"> tiegħek u l-privatezza tiegħek, li tintuża mill-professjonisti fil-kura tas-saħħa tal-ERN biex jipparteċipaw b’mod remot fid-diskussjoni dwar il-każ tiegħek. </w:t>
      </w:r>
    </w:p>
    <w:p w14:paraId="1441D363" w14:textId="548657D8" w:rsidR="00D453E1" w:rsidRPr="003224F6" w:rsidRDefault="00D453E1" w:rsidP="00C37DFD">
      <w:pPr>
        <w:spacing w:line="240" w:lineRule="auto"/>
        <w:jc w:val="both"/>
      </w:pPr>
      <w:r>
        <w:t>Kif tintemm id-diskussjoni, it-tabib tiegħek jista’ jniżżel rapport dwar l-eżitu bil-pariri rilevanti.</w:t>
      </w:r>
    </w:p>
    <w:p w14:paraId="17E2858B" w14:textId="40E4D149" w:rsidR="00E926BD" w:rsidRDefault="00891A66" w:rsidP="00C37DFD">
      <w:pPr>
        <w:jc w:val="both"/>
      </w:pPr>
      <w:r>
        <w:t>Il-każ tiegħek se jiġi diskuss mill-esperti tal-UE fil-pjattaforma biss jekk tagħti l-kunsens tiegħek. Madankollu, il-kura tiegħek tibqa’ r-responsabbiltà tat-tobba tiegħek f’dan l-isptar u anke jekk tagħżel li ma tagħtix il-kunsens tiegħek, it-tobba tiegħek se jkomplu jieħu ħsiebek bl-aqwa għarfien tagħhom.</w:t>
      </w:r>
    </w:p>
    <w:p w14:paraId="5B8CA6E9" w14:textId="486A09F6" w:rsidR="003274EC" w:rsidRDefault="002A262E" w:rsidP="00F02BE6">
      <w:pPr>
        <w:jc w:val="both"/>
      </w:pPr>
      <w:r>
        <w:t xml:space="preserve">Jekk tagħti l-kunsens biex il-każ tiegħek jiġi diskuss u taċċetta li tikkontribwixxi għall-avvanz fl-għarfien dwar każijiet rari bħal tiegħek, tista’ tagħti aktar kunsensi kif </w:t>
      </w:r>
      <w:r>
        <w:t>speċifikat hawn taħt. It-tnejn huma fakultattivi u ma jaffettwawx id-diskussjoni dwar il-każ tiegħek għad-dijanjożi u t-trattament:</w:t>
      </w:r>
    </w:p>
    <w:p w14:paraId="54E6600E" w14:textId="47FCA0FA" w:rsidR="003274EC" w:rsidRDefault="00F97D1F" w:rsidP="00F02BE6">
      <w:pPr>
        <w:pStyle w:val="ListParagraph"/>
        <w:numPr>
          <w:ilvl w:val="0"/>
          <w:numId w:val="3"/>
        </w:numPr>
        <w:ind w:left="284" w:hanging="284"/>
        <w:contextualSpacing w:val="0"/>
        <w:jc w:val="both"/>
      </w:pPr>
      <w:r>
        <w:t>jekk tagħti l-kunsens espliċitu biex il-każ kliniku tiegħek jintuża għal skopijiet edukattivi, id-</w:t>
      </w:r>
      <w:r>
        <w:rPr>
          <w:i/>
          <w:iCs/>
        </w:rPr>
        <w:t>data</w:t>
      </w:r>
      <w:r>
        <w:t xml:space="preserve"> tiegħek se tkun kompletament anonimizzata u tista’ tintuża biex teduka professjonisti oħra fil-kura tas-saħħa, inkluż tobba żgħażagħ jew studenti mediċi ħalli javvanzaw fl-għarfien u fl-edukazzjoni tagħhom dwar każijiet rari bħal tiegħek.</w:t>
      </w:r>
    </w:p>
    <w:p w14:paraId="3CE66697" w14:textId="6EEFB088" w:rsidR="00F97D1F" w:rsidRDefault="00F97D1F" w:rsidP="00F02BE6">
      <w:pPr>
        <w:pStyle w:val="ListParagraph"/>
        <w:numPr>
          <w:ilvl w:val="0"/>
          <w:numId w:val="3"/>
        </w:numPr>
        <w:ind w:left="284" w:hanging="284"/>
        <w:jc w:val="both"/>
      </w:pPr>
      <w:r>
        <w:t>jekk tagħti l-kunsens espliċitu biex id-</w:t>
      </w:r>
      <w:r>
        <w:rPr>
          <w:i/>
          <w:iCs/>
        </w:rPr>
        <w:t>data</w:t>
      </w:r>
      <w:r>
        <w:t xml:space="preserve"> tiegħek tiġi esportata fir-reġistri tal-ERN, id-</w:t>
      </w:r>
      <w:r>
        <w:rPr>
          <w:i/>
          <w:iCs/>
        </w:rPr>
        <w:t>data</w:t>
      </w:r>
      <w:r>
        <w:t xml:space="preserve"> psewdonimizzata tiegħek tista’ tiġi esportata fir-reġistri tal-mard rari/kumpless ħalli tintuża għar-riċerka xjentifika.</w:t>
      </w:r>
    </w:p>
    <w:p w14:paraId="20C080BB" w14:textId="74FF5B5B" w:rsidR="00853C26" w:rsidRPr="007D3FA0" w:rsidRDefault="00853C26" w:rsidP="00853C26">
      <w:pPr>
        <w:jc w:val="both"/>
        <w:rPr>
          <w:b/>
          <w:color w:val="0070C0"/>
        </w:rPr>
      </w:pPr>
      <w:r>
        <w:rPr>
          <w:b/>
          <w:color w:val="0070C0"/>
        </w:rPr>
        <w:t>X'INHUMA D-DRITTIJIET TIEGĦEK?</w:t>
      </w:r>
    </w:p>
    <w:p w14:paraId="403A5E04" w14:textId="77777777" w:rsidR="00CF759B" w:rsidRDefault="00CF759B" w:rsidP="00C37DFD">
      <w:pPr>
        <w:spacing w:line="240" w:lineRule="auto"/>
        <w:jc w:val="both"/>
      </w:pPr>
      <w:r>
        <w:t>Id-</w:t>
      </w:r>
      <w:r>
        <w:rPr>
          <w:i/>
          <w:iCs/>
        </w:rPr>
        <w:t>data</w:t>
      </w:r>
      <w:r>
        <w:t xml:space="preserve"> tiegħek se tiġi proċessata f’konformità mal-leġiżlazzjoni tal-UE dwar il-protezzjoni tad-</w:t>
      </w:r>
      <w:r>
        <w:rPr>
          <w:i/>
          <w:iCs/>
        </w:rPr>
        <w:t>data</w:t>
      </w:r>
      <w:r>
        <w:t>, li tinkludi r-Regolament 2016/679 (GDPR) u r-Regolament (UE) 2018/1725. Il-Kummissjoni Ewropea u kull fornitur tal-kura tas-saħħa li jipproċessa d-</w:t>
      </w:r>
      <w:r>
        <w:rPr>
          <w:i/>
          <w:iCs/>
        </w:rPr>
        <w:t>data</w:t>
      </w:r>
      <w:r>
        <w:t xml:space="preserve"> tal-pazjenti fil-pjattaforma tal-IT huma kontrolluri konġunti.</w:t>
      </w:r>
    </w:p>
    <w:p w14:paraId="7C77FAB1" w14:textId="06352292" w:rsidR="00CF759B" w:rsidRDefault="0092512F" w:rsidP="00C37DFD">
      <w:pPr>
        <w:spacing w:line="240" w:lineRule="auto"/>
        <w:jc w:val="both"/>
      </w:pPr>
      <w:r>
        <w:t>Għandek id-dritt li tagħti jew tirrifjuta l-kunsens tiegħek. Tista’ wkoll tirtira l-kunsens tiegħek meta trid iżda kun af li l-irtirar tal-kunsens tiegħek mhux se jaffettwa l-legalità tad-</w:t>
      </w:r>
      <w:r>
        <w:rPr>
          <w:i/>
          <w:iCs/>
        </w:rPr>
        <w:t>data</w:t>
      </w:r>
      <w:r>
        <w:t xml:space="preserve"> pproċessata qabel l-irtirar.</w:t>
      </w:r>
    </w:p>
    <w:p w14:paraId="1A35A2BC" w14:textId="1C76AD93" w:rsidR="00CF759B" w:rsidRDefault="0092512F" w:rsidP="00C37DFD">
      <w:pPr>
        <w:spacing w:line="240" w:lineRule="auto"/>
        <w:jc w:val="both"/>
      </w:pPr>
      <w:r>
        <w:t>Għandek id-dritt titlob u tirċievi aktar informazzjoni dwar id-</w:t>
      </w:r>
      <w:r>
        <w:rPr>
          <w:i/>
          <w:iCs/>
        </w:rPr>
        <w:t>data</w:t>
      </w:r>
      <w:r>
        <w:t xml:space="preserve"> li tinqasam, taċċessa d-</w:t>
      </w:r>
      <w:r>
        <w:rPr>
          <w:i/>
          <w:iCs/>
        </w:rPr>
        <w:t>data</w:t>
      </w:r>
      <w:r>
        <w:t xml:space="preserve"> tiegħek u titlob il-korrezzjoni ta’ kwalunkwe żball. Għandek ukoll id-dritt titlob li d-</w:t>
      </w:r>
      <w:r>
        <w:rPr>
          <w:i/>
          <w:iCs/>
        </w:rPr>
        <w:t>data</w:t>
      </w:r>
      <w:r>
        <w:t xml:space="preserve"> tiegħek titħassar. Il-punt ta’ kuntatt biex teżerċita d-drittijiet tiegħek huwa l-fornitur tal-kura tas-saħħa tiegħek. Għandek ukoll id-dritt tressaq ilment mal-awtorità nazzjonali ta’ kontroll jew mal-Kontrollur Ewropew għall-Protezzjoni tad-</w:t>
      </w:r>
      <w:r>
        <w:rPr>
          <w:i/>
          <w:iCs/>
        </w:rPr>
        <w:t>Data</w:t>
      </w:r>
      <w:r>
        <w:t>.</w:t>
      </w:r>
    </w:p>
    <w:p w14:paraId="3750259F" w14:textId="12F05175" w:rsidR="00C37DFD" w:rsidRDefault="00853C26" w:rsidP="00C37DFD">
      <w:pPr>
        <w:jc w:val="both"/>
      </w:pPr>
      <w:r>
        <w:t>Id-</w:t>
      </w:r>
      <w:r>
        <w:rPr>
          <w:i/>
          <w:iCs/>
        </w:rPr>
        <w:t>data</w:t>
      </w:r>
      <w:r>
        <w:t xml:space="preserve"> tiegħek tinżamm biss kemm ikun meħtieġ għall-iskopijiet li inti tkun tajt il-kunsens għalihom, u mill-inqas kull 15-il sena jsir rieżami dwar jekk teħtieġx tinżamm din id-</w:t>
      </w:r>
      <w:r>
        <w:rPr>
          <w:i/>
          <w:iCs/>
        </w:rPr>
        <w:t>data</w:t>
      </w:r>
      <w:r>
        <w:t>.</w:t>
      </w:r>
    </w:p>
    <w:p w14:paraId="6D0467C6" w14:textId="18C00A99" w:rsidR="00A463B6" w:rsidRDefault="00A463B6" w:rsidP="00C37DFD">
      <w:pPr>
        <w:jc w:val="both"/>
        <w:sectPr w:rsidR="00A463B6" w:rsidSect="00F02BE6">
          <w:type w:val="continuous"/>
          <w:pgSz w:w="11906" w:h="16838" w:code="9"/>
          <w:pgMar w:top="720" w:right="720" w:bottom="720" w:left="720" w:header="709" w:footer="709" w:gutter="0"/>
          <w:cols w:num="2" w:space="454"/>
          <w:docGrid w:linePitch="360"/>
        </w:sectPr>
      </w:pPr>
    </w:p>
    <w:p w14:paraId="5D283CDD" w14:textId="1D0509F4" w:rsidR="0002516B" w:rsidRDefault="0002516B" w:rsidP="00CF759B">
      <w:pPr>
        <w:sectPr w:rsidR="0002516B" w:rsidSect="001018AC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72FB452D" w14:textId="02D9DFA4" w:rsidR="00F97D1F" w:rsidRDefault="00F97D1F" w:rsidP="005F4035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</w:rPr>
      </w:pPr>
      <w:r>
        <w:rPr>
          <w:b/>
          <w:color w:val="0070C0"/>
        </w:rPr>
        <w:lastRenderedPageBreak/>
        <w:t>Kunsens primarju (dijanjożi u trattament):</w:t>
      </w:r>
    </w:p>
    <w:p w14:paraId="295B16D0" w14:textId="22F3C063" w:rsidR="005F4035" w:rsidRPr="007D3FA0" w:rsidRDefault="005F4035" w:rsidP="005F4035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  <w:rPr>
          <w:b/>
          <w:color w:val="0070C0"/>
        </w:rPr>
      </w:pPr>
      <w:r>
        <w:t>Il-kunsens primarju huwa obbligatorju biex il-każ tiegħek jiġi diskuss.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7D3FA0" w14:paraId="4360BFB5" w14:textId="77777777" w:rsidTr="008F4C57">
        <w:trPr>
          <w:trHeight w:val="567"/>
          <w:jc w:val="center"/>
        </w:trPr>
        <w:tc>
          <w:tcPr>
            <w:tcW w:w="7970" w:type="dxa"/>
            <w:vAlign w:val="center"/>
          </w:tcPr>
          <w:p w14:paraId="2C99D133" w14:textId="57B345ED" w:rsidR="00F97D1F" w:rsidRPr="007D3FA0" w:rsidRDefault="00F97D1F" w:rsidP="00294FF2">
            <w:pPr>
              <w:jc w:val="both"/>
            </w:pPr>
            <w:r>
              <w:t>Nagħti l-kunsens biex id-</w:t>
            </w:r>
            <w:r>
              <w:rPr>
                <w:i/>
                <w:iCs/>
              </w:rPr>
              <w:t>data</w:t>
            </w:r>
            <w:r>
              <w:t xml:space="preserve"> psewdonimizzata tiegħi tiġi kondiviża għad-dijanjożi u t-trattament tiegħi. Naf li d-</w:t>
            </w:r>
            <w:r>
              <w:rPr>
                <w:i/>
                <w:iCs/>
              </w:rPr>
              <w:t>data</w:t>
            </w:r>
            <w:r>
              <w:t xml:space="preserve"> tiegħi tista’ tinqasam mal-professjonisti fil-kura tas-saħħa fi sptarijiet oħra, u f’xi każijiet f’pajjiżi oħra tal-UE, biex ikunu jistgħu jiddiskutu l-każ tiegħi u jagħtu parir lit-tobba li qed jikkurawni.</w:t>
            </w:r>
          </w:p>
        </w:tc>
        <w:tc>
          <w:tcPr>
            <w:tcW w:w="1668" w:type="dxa"/>
            <w:vAlign w:val="center"/>
          </w:tcPr>
          <w:p w14:paraId="23FB6320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Iva</w:t>
            </w:r>
          </w:p>
          <w:p w14:paraId="7E16950B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Le</w:t>
            </w:r>
          </w:p>
        </w:tc>
      </w:tr>
    </w:tbl>
    <w:p w14:paraId="71A74E34" w14:textId="77777777" w:rsidR="00F97D1F" w:rsidRDefault="00F97D1F" w:rsidP="00F97D1F">
      <w:pPr>
        <w:spacing w:after="0"/>
        <w:ind w:hanging="9"/>
        <w:jc w:val="both"/>
      </w:pPr>
    </w:p>
    <w:p w14:paraId="3A701DB9" w14:textId="3582297B" w:rsidR="00F97D1F" w:rsidRPr="007D3FA0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</w:rPr>
      </w:pPr>
      <w:r>
        <w:rPr>
          <w:b/>
          <w:color w:val="0070C0"/>
        </w:rPr>
        <w:t>Kunsensi sekondarji (edukazzjoni, esportazzjoni fir-reġistri):</w:t>
      </w:r>
    </w:p>
    <w:p w14:paraId="7A310D5B" w14:textId="6C5372D3" w:rsidR="00F97D1F" w:rsidRDefault="00F97D1F" w:rsidP="00F97D1F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</w:pPr>
      <w:r>
        <w:t>Jekk tagħti l-kunsens primarju t’hawn fuq U taċċetta li tagħti sehmek għall-avvanz tal-għarfien dwar każijiet rari bħal tiegħek, tista’ tagħti aktar kunsensi kif speċifikat hawn taħt. It-tnejn huma fakultattivi u ma jaffettwawx id-diskussjoni dwar il-każ tiegħek għad-dijanjożi u t-trattament: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7D3FA0" w14:paraId="159CF7F5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1FD044FF" w14:textId="77777777" w:rsidR="005F4035" w:rsidRDefault="005F4035" w:rsidP="00817A4B">
            <w:r>
              <w:t>Kunsens għall-edukazzjoni:</w:t>
            </w:r>
          </w:p>
          <w:p w14:paraId="46DA6361" w14:textId="57853565" w:rsidR="00F97D1F" w:rsidRPr="007D3FA0" w:rsidRDefault="00F97D1F" w:rsidP="00817A4B">
            <w:r>
              <w:t>Nagħti l-kunsens biex il-każ kliniku tiegħi jiġi kompletament anonimizzat u wara jintuża għal skopijiet edukattivi.</w:t>
            </w:r>
          </w:p>
        </w:tc>
        <w:tc>
          <w:tcPr>
            <w:tcW w:w="1668" w:type="dxa"/>
            <w:vAlign w:val="center"/>
          </w:tcPr>
          <w:p w14:paraId="43235BE0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Iva</w:t>
            </w:r>
          </w:p>
          <w:p w14:paraId="3E887FD6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Le</w:t>
            </w:r>
          </w:p>
        </w:tc>
      </w:tr>
      <w:tr w:rsidR="00F97D1F" w:rsidRPr="007D3FA0" w14:paraId="39CD180E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306C52E8" w14:textId="77777777" w:rsidR="005F4035" w:rsidRDefault="00B2524B" w:rsidP="00817A4B">
            <w:r>
              <w:t>Kunsens għall-esportazzjoni fir-reġistri:</w:t>
            </w:r>
          </w:p>
          <w:p w14:paraId="41E122DB" w14:textId="2C5E433A" w:rsidR="00F97D1F" w:rsidRPr="007D3FA0" w:rsidRDefault="00F97D1F" w:rsidP="00817A4B">
            <w:r>
              <w:t>Nagħti l-kunsens biex id-</w:t>
            </w:r>
            <w:r>
              <w:rPr>
                <w:i/>
                <w:iCs/>
              </w:rPr>
              <w:t>data</w:t>
            </w:r>
            <w:r>
              <w:t xml:space="preserve"> klinika psewdonimizzata tiegħi tiġi esportata fir-reġistri tal-ERN għall-iskop tar-riċerka xjentifika.</w:t>
            </w:r>
          </w:p>
        </w:tc>
        <w:tc>
          <w:tcPr>
            <w:tcW w:w="1668" w:type="dxa"/>
            <w:vAlign w:val="center"/>
          </w:tcPr>
          <w:p w14:paraId="750315E1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Iva</w:t>
            </w:r>
          </w:p>
          <w:p w14:paraId="126B4F47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Le</w:t>
            </w:r>
          </w:p>
        </w:tc>
      </w:tr>
    </w:tbl>
    <w:p w14:paraId="583EB545" w14:textId="77777777" w:rsidR="00463140" w:rsidRDefault="00463140" w:rsidP="00463140">
      <w:pPr>
        <w:spacing w:after="0"/>
      </w:pP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463140" w:rsidRPr="007D3FA0" w14:paraId="4CC8C405" w14:textId="77777777" w:rsidTr="00362DF2">
        <w:trPr>
          <w:trHeight w:val="1021"/>
          <w:jc w:val="center"/>
        </w:trPr>
        <w:tc>
          <w:tcPr>
            <w:tcW w:w="9638" w:type="dxa"/>
            <w:vAlign w:val="center"/>
          </w:tcPr>
          <w:p w14:paraId="78BCF1AD" w14:textId="77777777" w:rsidR="00463140" w:rsidRPr="007D3FA0" w:rsidRDefault="00463140" w:rsidP="00362DF2">
            <w:pPr>
              <w:spacing w:line="360" w:lineRule="auto"/>
              <w:jc w:val="both"/>
            </w:pPr>
            <w:r>
              <w:t>DETTALJI TAL-PAZJENT:</w:t>
            </w:r>
          </w:p>
          <w:p w14:paraId="03908358" w14:textId="76965180" w:rsidR="00463140" w:rsidRPr="007D3FA0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</w:pPr>
            <w:r>
              <w:t xml:space="preserve">Isem u kunjom: </w:t>
            </w:r>
            <w:r>
              <w:tab/>
            </w:r>
          </w:p>
          <w:p w14:paraId="5A0B866F" w14:textId="1B75181F" w:rsidR="00463140" w:rsidRDefault="00463140" w:rsidP="00362DF2">
            <w:pPr>
              <w:tabs>
                <w:tab w:val="left" w:pos="2883"/>
                <w:tab w:val="left" w:pos="3450"/>
                <w:tab w:val="left" w:pos="5103"/>
                <w:tab w:val="right" w:pos="9256"/>
              </w:tabs>
              <w:ind w:left="471" w:hanging="471"/>
            </w:pPr>
            <w:r>
              <w:rPr>
                <w:color w:val="00B0F0"/>
                <w:sz w:val="36"/>
              </w:rPr>
              <w:sym w:font="Wingdings" w:char="F0A8"/>
            </w:r>
            <w:r>
              <w:tab/>
              <w:t>Jien il-pazjent.</w:t>
            </w:r>
          </w:p>
          <w:p w14:paraId="20136ECE" w14:textId="2C1FBAFD" w:rsidR="00625089" w:rsidRDefault="00463140" w:rsidP="002A262E">
            <w:pPr>
              <w:tabs>
                <w:tab w:val="right" w:leader="underscore" w:pos="4158"/>
                <w:tab w:val="right" w:pos="9256"/>
              </w:tabs>
              <w:ind w:left="471" w:right="159" w:hanging="471"/>
            </w:pPr>
            <w:r>
              <w:rPr>
                <w:color w:val="00B0F0"/>
                <w:sz w:val="36"/>
              </w:rPr>
              <w:sym w:font="Wingdings" w:char="F0A8"/>
            </w:r>
            <w:r>
              <w:tab/>
              <w:t>Jien</w:t>
            </w:r>
            <w:r>
              <w:tab/>
              <w:t xml:space="preserve"> </w:t>
            </w:r>
            <w:r>
              <w:tab/>
              <w:t xml:space="preserve">u rajt li l-pazjent ma setax jiffirma waħdu u ta l-kunsens bil-mezzi li ġejjin: </w:t>
            </w:r>
            <w:r>
              <w:ptab w:relativeTo="margin" w:alignment="right" w:leader="underscore"/>
            </w:r>
          </w:p>
          <w:p w14:paraId="034E08E4" w14:textId="14BC6B82" w:rsidR="00463140" w:rsidRDefault="00463140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</w:pPr>
            <w:r>
              <w:rPr>
                <w:color w:val="00B0F0"/>
                <w:sz w:val="36"/>
              </w:rPr>
              <w:sym w:font="Wingdings" w:char="F0A8"/>
            </w:r>
            <w:r>
              <w:tab/>
              <w:t>Jien il-ġenitur/tutur tal-pazjent, jew għandi prokura u qed nehmeż id-dokumenti ta’ sostenn ma’ din il-formola.</w:t>
            </w:r>
          </w:p>
          <w:p w14:paraId="75890A39" w14:textId="77777777" w:rsidR="00625089" w:rsidRDefault="00625089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</w:pPr>
          </w:p>
          <w:p w14:paraId="1DBDBED0" w14:textId="2D3CDB05" w:rsidR="00463140" w:rsidRPr="007D3FA0" w:rsidRDefault="00625089" w:rsidP="00362DF2">
            <w:pPr>
              <w:spacing w:line="360" w:lineRule="auto"/>
              <w:jc w:val="both"/>
            </w:pPr>
            <w:r>
              <w:t>DETTALJI TAX-XHUD/ TAL-ĠENITUR/ TAT-TUTUR/ TAL-AVUKAT:</w:t>
            </w:r>
          </w:p>
          <w:p w14:paraId="134DF095" w14:textId="3E0FB3A1" w:rsidR="00463140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</w:pPr>
            <w:r>
              <w:t xml:space="preserve">Isem u kunjom: </w:t>
            </w:r>
            <w:r>
              <w:tab/>
            </w:r>
          </w:p>
          <w:p w14:paraId="0B1D90D7" w14:textId="77777777" w:rsidR="00002835" w:rsidRDefault="00002835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</w:pPr>
          </w:p>
          <w:p w14:paraId="6AE776E3" w14:textId="5585DA89" w:rsidR="00463140" w:rsidRPr="007D3FA0" w:rsidRDefault="00463140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</w:pPr>
            <w:r>
              <w:t xml:space="preserve">Data: </w:t>
            </w:r>
            <w:r>
              <w:tab/>
              <w:t xml:space="preserve">  Firma:</w:t>
            </w:r>
            <w:r>
              <w:tab/>
            </w:r>
          </w:p>
        </w:tc>
      </w:tr>
    </w:tbl>
    <w:p w14:paraId="4D14E0D6" w14:textId="77777777" w:rsidR="00463140" w:rsidRDefault="00463140" w:rsidP="00463140">
      <w:pPr>
        <w:ind w:left="360"/>
        <w:jc w:val="both"/>
      </w:pPr>
    </w:p>
    <w:p w14:paraId="1760DD0D" w14:textId="0893637F" w:rsidR="00F97D1F" w:rsidRPr="007D3FA0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ind w:left="357"/>
        <w:jc w:val="both"/>
        <w:rPr>
          <w:b/>
          <w:color w:val="0070C0"/>
        </w:rPr>
      </w:pPr>
      <w:r>
        <w:rPr>
          <w:b/>
          <w:color w:val="0070C0"/>
        </w:rPr>
        <w:t>DETTALJI TA’ KUNTATT TAL-KONTROLLURI KONĠUNTI:</w:t>
      </w:r>
    </w:p>
    <w:p w14:paraId="7A0D0526" w14:textId="77777777" w:rsidR="00F97D1F" w:rsidRPr="007D3FA0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</w:pPr>
      <w:r>
        <w:t>Fornitur tal-kura tas-saħħa:</w:t>
      </w:r>
    </w:p>
    <w:p w14:paraId="608B834E" w14:textId="49BED5E2" w:rsidR="00F97D1F" w:rsidRPr="007D3FA0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</w:pPr>
      <w:r>
        <w:t>[Isem l-isptar]</w:t>
      </w:r>
    </w:p>
    <w:p w14:paraId="633934F4" w14:textId="6F1571C6" w:rsidR="00F97D1F" w:rsidRPr="007D3FA0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</w:pPr>
      <w:r>
        <w:t>[Indirizz tal-isptar]</w:t>
      </w:r>
    </w:p>
    <w:p w14:paraId="24B16AE1" w14:textId="3599D406" w:rsidR="00F97D1F" w:rsidRDefault="00F97D1F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</w:pPr>
      <w:r>
        <w:t>Kuntatt tal-Uffiċjal għall-Protezzjoni tad-</w:t>
      </w:r>
      <w:r>
        <w:rPr>
          <w:i/>
          <w:iCs/>
        </w:rPr>
        <w:t>Data</w:t>
      </w:r>
      <w:r>
        <w:t>: [indirizz tal-email]</w:t>
      </w:r>
    </w:p>
    <w:p w14:paraId="57902560" w14:textId="22BFA888" w:rsidR="0032263B" w:rsidRDefault="0032263B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</w:pPr>
      <w:r>
        <w:t>Kuntatt tal-Awtorità nazzjonali ta’ kontroll: [indirizz tal-email]</w:t>
      </w:r>
    </w:p>
    <w:p w14:paraId="455E0557" w14:textId="77777777" w:rsidR="00F97D1F" w:rsidRPr="007D3FA0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</w:pPr>
      <w:r>
        <w:t>Il-Kummissjoni Ewropea:</w:t>
      </w:r>
    </w:p>
    <w:p w14:paraId="42FFBF02" w14:textId="77777777" w:rsidR="00F97D1F" w:rsidRPr="007D3FA0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</w:pPr>
      <w:r>
        <w:t>Id-Direttorat Ġenerali għas-Saħħa u s-Sikurezza Alimentari</w:t>
      </w:r>
    </w:p>
    <w:p w14:paraId="684F98D9" w14:textId="77777777" w:rsidR="00F97D1F" w:rsidRPr="007D3FA0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</w:pPr>
      <w:r>
        <w:t>1049 Bruxelles/Brussel, il-Belġju</w:t>
      </w:r>
    </w:p>
    <w:p w14:paraId="30BAC8DE" w14:textId="3E358C67" w:rsidR="00FF1333" w:rsidRPr="00920C1B" w:rsidRDefault="008E122D" w:rsidP="00920C1B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9923"/>
          <w:tab w:val="right" w:leader="underscore" w:pos="10466"/>
        </w:tabs>
        <w:spacing w:after="0"/>
        <w:jc w:val="both"/>
        <w:rPr>
          <w:rStyle w:val="Hyperlink"/>
          <w:bCs/>
          <w:color w:val="auto"/>
          <w:u w:val="none"/>
        </w:rPr>
      </w:pPr>
      <w:r>
        <w:t>Kuntatt tal-Uffiċjal għall-Protezzjoni tad-</w:t>
      </w:r>
      <w:r>
        <w:rPr>
          <w:i/>
          <w:iCs/>
        </w:rPr>
        <w:t>Data</w:t>
      </w:r>
      <w:r>
        <w:t xml:space="preserve">: </w:t>
      </w:r>
      <w:hyperlink r:id="rId19" w:history="1">
        <w:r>
          <w:rPr>
            <w:rStyle w:val="Hyperlink"/>
          </w:rPr>
          <w:t>data-protection-officer@ec.europa.eu</w:t>
        </w:r>
      </w:hyperlink>
    </w:p>
    <w:p w14:paraId="06ECAA14" w14:textId="49F41CC6" w:rsidR="0032263B" w:rsidRPr="00F833DD" w:rsidRDefault="0032263B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rStyle w:val="Hyperlink"/>
          <w:bCs/>
          <w:color w:val="auto"/>
          <w:u w:val="none"/>
        </w:rPr>
      </w:pPr>
      <w:r>
        <w:rPr>
          <w:rStyle w:val="Hyperlink"/>
          <w:color w:val="auto"/>
          <w:u w:val="none"/>
        </w:rPr>
        <w:t>Il-Kontrollur Ewropew għall-Protezzjoni tad-</w:t>
      </w:r>
      <w:r>
        <w:rPr>
          <w:rStyle w:val="Hyperlink"/>
          <w:i/>
          <w:iCs/>
          <w:color w:val="auto"/>
          <w:u w:val="none"/>
        </w:rPr>
        <w:t>Data</w:t>
      </w:r>
      <w:r>
        <w:rPr>
          <w:rStyle w:val="Hyperlink"/>
          <w:color w:val="auto"/>
          <w:u w:val="none"/>
        </w:rPr>
        <w:t xml:space="preserve">: </w:t>
      </w:r>
      <w:hyperlink r:id="rId20" w:history="1">
        <w:r>
          <w:rPr>
            <w:rStyle w:val="Hyperlink"/>
          </w:rPr>
          <w:t>edps@edps.europa.eu</w:t>
        </w:r>
      </w:hyperlink>
    </w:p>
    <w:p w14:paraId="3F501A4A" w14:textId="77777777" w:rsidR="00F833DD" w:rsidRDefault="00F833DD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bCs/>
        </w:rPr>
      </w:pPr>
    </w:p>
    <w:sectPr w:rsidR="00F833DD" w:rsidSect="001018AC"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4E91" w14:textId="77777777" w:rsidR="008B6C91" w:rsidRDefault="008B6C91" w:rsidP="008B6C91">
      <w:pPr>
        <w:spacing w:after="0" w:line="240" w:lineRule="auto"/>
      </w:pPr>
      <w:r>
        <w:separator/>
      </w:r>
    </w:p>
  </w:endnote>
  <w:endnote w:type="continuationSeparator" w:id="0">
    <w:p w14:paraId="178AE6D9" w14:textId="77777777" w:rsidR="008B6C91" w:rsidRDefault="008B6C91" w:rsidP="008B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 Medium">
    <w:panose1 w:val="020B05000000000200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E904" w14:textId="77777777" w:rsidR="00920C1B" w:rsidRDefault="00920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567F" w14:textId="0D94AC04" w:rsidR="002C4D76" w:rsidRPr="00920C1B" w:rsidRDefault="002C4D76" w:rsidP="002C4D76">
    <w:pPr>
      <w:pStyle w:val="Footer"/>
      <w:jc w:val="right"/>
      <w:rPr>
        <w:sz w:val="18"/>
        <w:szCs w:val="18"/>
      </w:rPr>
    </w:pPr>
    <w:r>
      <w:rPr>
        <w:sz w:val="18"/>
      </w:rPr>
      <w:t>Mudell tal-formola għall-kunsens tal-pazjent V4.0 EU, 16.07.2024</w:t>
    </w:r>
  </w:p>
  <w:p w14:paraId="1DA89D71" w14:textId="77777777" w:rsidR="004574ED" w:rsidRPr="00920C1B" w:rsidRDefault="004574ED">
    <w:pPr>
      <w:pStyle w:val="Footer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3204EC" wp14:editId="552276F9">
              <wp:simplePos x="0" y="0"/>
              <wp:positionH relativeFrom="column">
                <wp:posOffset>-539224</wp:posOffset>
              </wp:positionH>
              <wp:positionV relativeFrom="paragraph">
                <wp:posOffset>323215</wp:posOffset>
              </wp:positionV>
              <wp:extent cx="8267700" cy="4000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677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C19A4E" id="Rectangle 3" o:spid="_x0000_s1026" style="position:absolute;margin-left:-42.45pt;margin-top:25.45pt;width:651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" fillcolor="#5b9bd5 [3204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B909" w14:textId="4276CF0C" w:rsidR="00DD49A3" w:rsidRDefault="00DD49A3" w:rsidP="002D6F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69BF" w14:textId="77777777" w:rsidR="008B6C91" w:rsidRDefault="008B6C91" w:rsidP="008B6C91">
      <w:pPr>
        <w:spacing w:after="0" w:line="240" w:lineRule="auto"/>
      </w:pPr>
      <w:r>
        <w:separator/>
      </w:r>
    </w:p>
  </w:footnote>
  <w:footnote w:type="continuationSeparator" w:id="0">
    <w:p w14:paraId="5309C004" w14:textId="77777777" w:rsidR="008B6C91" w:rsidRDefault="008B6C91" w:rsidP="008B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02E6" w14:textId="77777777" w:rsidR="00920C1B" w:rsidRDefault="009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E1FA" w14:textId="230AB38D" w:rsidR="00A64A09" w:rsidRDefault="00A64A09" w:rsidP="004574ED">
    <w:pPr>
      <w:pStyle w:val="Header"/>
    </w:pPr>
    <w:r>
      <w:rPr>
        <w:b/>
        <w:noProof/>
        <w:color w:val="0070C0"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026759" wp14:editId="2443781B">
              <wp:simplePos x="0" y="0"/>
              <wp:positionH relativeFrom="column">
                <wp:posOffset>-447675</wp:posOffset>
              </wp:positionH>
              <wp:positionV relativeFrom="paragraph">
                <wp:posOffset>-444500</wp:posOffset>
              </wp:positionV>
              <wp:extent cx="7553325" cy="11334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50C178" w14:textId="4AD61581" w:rsidR="00DD49A3" w:rsidRPr="004574ED" w:rsidRDefault="00DD49A3" w:rsidP="00AA63A0">
                          <w:pPr>
                            <w:spacing w:before="240"/>
                            <w:jc w:val="center"/>
                            <w:rPr>
                              <w:rFonts w:ascii="EC Square Sans Pro Medium" w:hAnsi="EC Square Sans Pro Medium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ascii="EC Square Sans Pro Medium" w:hAnsi="EC Square Sans Pro Medium"/>
                              <w:sz w:val="36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Networks ta’ Referenza Ewropej</w:t>
                          </w:r>
                          <w:r>
                            <w:rPr>
                              <w:rFonts w:ascii="EC Square Sans Pro Medium" w:hAnsi="EC Square Sans Pro Medium"/>
                              <w:sz w:val="36"/>
                            </w:rPr>
                            <w:br/>
                          </w:r>
                          <w:r>
                            <w:rPr>
                              <w:rFonts w:ascii="EC Square Sans Pro Medium" w:hAnsi="EC Square Sans Pro Medium"/>
                              <w:sz w:val="60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SHARE.CARE.CURE.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26759" id="Rectangle 2" o:spid="_x0000_s1026" style="position:absolute;margin-left:-35.25pt;margin-top:-35pt;width:594.7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" fillcolor="#5b9bd5 [3204]" stroked="f" strokeweight="1pt">
              <v:textbox>
                <w:txbxContent>
                  <w:p w14:paraId="3650C178" w14:textId="4AD61581" w:rsidR="00DD49A3" w:rsidRPr="004574ED" w:rsidRDefault="00DD49A3" w:rsidP="00AA63A0">
                    <w:pPr>
                      <w:spacing w:before="240"/>
                      <w:jc w:val="center"/>
                      <w:rPr>
                        <w:rFonts w:ascii="EC Square Sans Pro Medium" w:hAnsi="EC Square Sans Pro Medium"/>
                        <w:sz w:val="68"/>
                        <w:szCs w:val="68"/>
                      </w:rPr>
                    </w:pPr>
                    <w:r>
                      <w:rPr>
                        <w:rFonts w:ascii="EC Square Sans Pro Medium" w:hAnsi="EC Square Sans Pro Medium"/>
                        <w:sz w:val="36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Networks ta’ Referenza Ewropej</w:t>
                    </w:r>
                    <w:r>
                      <w:rPr>
                        <w:rFonts w:ascii="EC Square Sans Pro Medium" w:hAnsi="EC Square Sans Pro Medium"/>
                        <w:sz w:val="36"/>
                      </w:rPr>
                      <w:br/>
                    </w:r>
                    <w:r>
                      <w:rPr>
                        <w:rFonts w:ascii="EC Square Sans Pro Medium" w:hAnsi="EC Square Sans Pro Medium"/>
                        <w:sz w:val="60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SHARE.CARE.CURE.</w:t>
                    </w:r>
                  </w:p>
                </w:txbxContent>
              </v:textbox>
            </v:rect>
          </w:pict>
        </mc:Fallback>
      </mc:AlternateContent>
    </w:r>
  </w:p>
  <w:p w14:paraId="531AEB50" w14:textId="77777777" w:rsidR="00AA63A0" w:rsidRDefault="00AA63A0" w:rsidP="004574ED">
    <w:pPr>
      <w:pStyle w:val="Header"/>
    </w:pPr>
  </w:p>
  <w:p w14:paraId="4AC24A48" w14:textId="77777777" w:rsidR="00DD49A3" w:rsidRDefault="00DD49A3" w:rsidP="004574ED">
    <w:pPr>
      <w:pStyle w:val="Header"/>
    </w:pPr>
  </w:p>
  <w:p w14:paraId="1AA88D6A" w14:textId="77777777" w:rsidR="00DD49A3" w:rsidRDefault="00DD49A3" w:rsidP="004574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6CDE" w14:textId="77777777" w:rsidR="00920C1B" w:rsidRDefault="00920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6F2"/>
    <w:multiLevelType w:val="hybridMultilevel"/>
    <w:tmpl w:val="98544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58C0"/>
    <w:multiLevelType w:val="hybridMultilevel"/>
    <w:tmpl w:val="219E2A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F65D8"/>
    <w:multiLevelType w:val="hybridMultilevel"/>
    <w:tmpl w:val="BCF4610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2B644C3"/>
    <w:multiLevelType w:val="hybridMultilevel"/>
    <w:tmpl w:val="65AE1D8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A785A"/>
    <w:multiLevelType w:val="hybridMultilevel"/>
    <w:tmpl w:val="0FD4B46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F0CB1"/>
    <w:multiLevelType w:val="hybridMultilevel"/>
    <w:tmpl w:val="2CBED6A0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D86980"/>
    <w:multiLevelType w:val="hybridMultilevel"/>
    <w:tmpl w:val="3A9CE8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25464668">
    <w:abstractNumId w:val="6"/>
  </w:num>
  <w:num w:numId="2" w16cid:durableId="1474368577">
    <w:abstractNumId w:val="2"/>
  </w:num>
  <w:num w:numId="3" w16cid:durableId="1036394579">
    <w:abstractNumId w:val="3"/>
  </w:num>
  <w:num w:numId="4" w16cid:durableId="1009016918">
    <w:abstractNumId w:val="4"/>
  </w:num>
  <w:num w:numId="5" w16cid:durableId="1472555894">
    <w:abstractNumId w:val="1"/>
  </w:num>
  <w:num w:numId="6" w16cid:durableId="1329291243">
    <w:abstractNumId w:val="0"/>
  </w:num>
  <w:num w:numId="7" w16cid:durableId="1024474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53C26"/>
    <w:rsid w:val="00002835"/>
    <w:rsid w:val="000106C2"/>
    <w:rsid w:val="0002516B"/>
    <w:rsid w:val="00037CF3"/>
    <w:rsid w:val="000E789F"/>
    <w:rsid w:val="001018AC"/>
    <w:rsid w:val="00167646"/>
    <w:rsid w:val="001943D8"/>
    <w:rsid w:val="002123B9"/>
    <w:rsid w:val="00221B0B"/>
    <w:rsid w:val="00245005"/>
    <w:rsid w:val="002962D2"/>
    <w:rsid w:val="002A262E"/>
    <w:rsid w:val="002A556B"/>
    <w:rsid w:val="002C4D76"/>
    <w:rsid w:val="002C7994"/>
    <w:rsid w:val="002D6F20"/>
    <w:rsid w:val="002E09FA"/>
    <w:rsid w:val="002E127B"/>
    <w:rsid w:val="002F0350"/>
    <w:rsid w:val="00306BF1"/>
    <w:rsid w:val="00316444"/>
    <w:rsid w:val="0032263B"/>
    <w:rsid w:val="003274EC"/>
    <w:rsid w:val="00353385"/>
    <w:rsid w:val="003536D9"/>
    <w:rsid w:val="003B78D4"/>
    <w:rsid w:val="003F3058"/>
    <w:rsid w:val="004574ED"/>
    <w:rsid w:val="00463140"/>
    <w:rsid w:val="0048149D"/>
    <w:rsid w:val="0049104D"/>
    <w:rsid w:val="004C7899"/>
    <w:rsid w:val="004D3DA6"/>
    <w:rsid w:val="00564249"/>
    <w:rsid w:val="005850F4"/>
    <w:rsid w:val="00590972"/>
    <w:rsid w:val="005B6B59"/>
    <w:rsid w:val="005D791E"/>
    <w:rsid w:val="005F4035"/>
    <w:rsid w:val="00625089"/>
    <w:rsid w:val="0063054C"/>
    <w:rsid w:val="006428FC"/>
    <w:rsid w:val="006A07A2"/>
    <w:rsid w:val="006B59EB"/>
    <w:rsid w:val="006C7537"/>
    <w:rsid w:val="007B5C55"/>
    <w:rsid w:val="007C2761"/>
    <w:rsid w:val="007D2AA1"/>
    <w:rsid w:val="007D3FA0"/>
    <w:rsid w:val="0081260E"/>
    <w:rsid w:val="00817A4B"/>
    <w:rsid w:val="008341B4"/>
    <w:rsid w:val="00853C26"/>
    <w:rsid w:val="00857E95"/>
    <w:rsid w:val="00876D82"/>
    <w:rsid w:val="00891A66"/>
    <w:rsid w:val="008B6C91"/>
    <w:rsid w:val="008D395A"/>
    <w:rsid w:val="008E122D"/>
    <w:rsid w:val="008E40D0"/>
    <w:rsid w:val="008F4C57"/>
    <w:rsid w:val="0090442D"/>
    <w:rsid w:val="00920C1B"/>
    <w:rsid w:val="0092512F"/>
    <w:rsid w:val="00951C7D"/>
    <w:rsid w:val="00985FEC"/>
    <w:rsid w:val="00A463B6"/>
    <w:rsid w:val="00A605DC"/>
    <w:rsid w:val="00A64A09"/>
    <w:rsid w:val="00AA63A0"/>
    <w:rsid w:val="00AB65BD"/>
    <w:rsid w:val="00AE00D0"/>
    <w:rsid w:val="00AE7B9A"/>
    <w:rsid w:val="00B0110B"/>
    <w:rsid w:val="00B2524B"/>
    <w:rsid w:val="00B354F7"/>
    <w:rsid w:val="00B36F40"/>
    <w:rsid w:val="00BB4B8E"/>
    <w:rsid w:val="00C10197"/>
    <w:rsid w:val="00C25F09"/>
    <w:rsid w:val="00C37DFD"/>
    <w:rsid w:val="00C44FC9"/>
    <w:rsid w:val="00C6520B"/>
    <w:rsid w:val="00C676E6"/>
    <w:rsid w:val="00C713CE"/>
    <w:rsid w:val="00C75E95"/>
    <w:rsid w:val="00C76A49"/>
    <w:rsid w:val="00CF297A"/>
    <w:rsid w:val="00CF759B"/>
    <w:rsid w:val="00D453E1"/>
    <w:rsid w:val="00D91E41"/>
    <w:rsid w:val="00DD49A3"/>
    <w:rsid w:val="00DF1F66"/>
    <w:rsid w:val="00E01070"/>
    <w:rsid w:val="00E33944"/>
    <w:rsid w:val="00E34988"/>
    <w:rsid w:val="00E815D6"/>
    <w:rsid w:val="00E92434"/>
    <w:rsid w:val="00E926BD"/>
    <w:rsid w:val="00EA4CF8"/>
    <w:rsid w:val="00ED7CEF"/>
    <w:rsid w:val="00F02BE6"/>
    <w:rsid w:val="00F14DA8"/>
    <w:rsid w:val="00F2256F"/>
    <w:rsid w:val="00F40F3E"/>
    <w:rsid w:val="00F670A0"/>
    <w:rsid w:val="00F833DD"/>
    <w:rsid w:val="00F93316"/>
    <w:rsid w:val="00F97D1F"/>
    <w:rsid w:val="00FC048B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1689D78"/>
  <w15:chartTrackingRefBased/>
  <w15:docId w15:val="{92C00A85-58C7-4B84-AC27-80383DE5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59"/>
    <w:rPr>
      <w:rFonts w:ascii="EC Square Sans Pro" w:hAnsi="EC Squar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3E1"/>
    <w:pPr>
      <w:keepNext/>
      <w:keepLines/>
      <w:spacing w:after="120" w:line="240" w:lineRule="auto"/>
      <w:outlineLvl w:val="0"/>
    </w:pPr>
    <w:rPr>
      <w:rFonts w:asciiTheme="minorHAnsi" w:eastAsiaTheme="majorEastAsia" w:hAnsiTheme="minorHAnsi" w:cstheme="minorHAnsi"/>
      <w:b/>
      <w:bCs/>
      <w:color w:val="2E74B5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3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C26"/>
    <w:rPr>
      <w:rFonts w:ascii="EC Square Sans Pro" w:hAnsi="EC Square Sans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3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C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C26"/>
    <w:rPr>
      <w:rFonts w:ascii="EC Square Sans Pro" w:hAnsi="EC Square Sans Pro"/>
      <w:b/>
      <w:bCs/>
      <w:sz w:val="20"/>
      <w:szCs w:val="20"/>
    </w:rPr>
  </w:style>
  <w:style w:type="character" w:customStyle="1" w:styleId="Heading1Exact">
    <w:name w:val="Heading #1 Exact"/>
    <w:basedOn w:val="DefaultParagraphFont"/>
    <w:link w:val="Heading10"/>
    <w:rsid w:val="008B6C91"/>
    <w:rPr>
      <w:rFonts w:ascii="Arial" w:eastAsia="Arial" w:hAnsi="Arial" w:cs="Arial"/>
      <w:b/>
      <w:bCs/>
      <w:color w:val="00ACCD"/>
      <w:sz w:val="64"/>
      <w:szCs w:val="64"/>
      <w:shd w:val="clear" w:color="auto" w:fill="FFFFFF"/>
    </w:rPr>
  </w:style>
  <w:style w:type="paragraph" w:customStyle="1" w:styleId="Heading10">
    <w:name w:val="Heading #1"/>
    <w:basedOn w:val="Normal"/>
    <w:link w:val="Heading1Exact"/>
    <w:rsid w:val="008B6C91"/>
    <w:pPr>
      <w:widowControl w:val="0"/>
      <w:shd w:val="clear" w:color="auto" w:fill="FFFFFF"/>
      <w:spacing w:after="0" w:line="714" w:lineRule="exact"/>
      <w:outlineLvl w:val="0"/>
    </w:pPr>
    <w:rPr>
      <w:rFonts w:ascii="Arial" w:eastAsia="Arial" w:hAnsi="Arial" w:cs="Arial"/>
      <w:b/>
      <w:bCs/>
      <w:color w:val="00ACCD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91"/>
    <w:rPr>
      <w:rFonts w:ascii="EC Square Sans Pro" w:hAnsi="EC Square Sans Pro"/>
    </w:rPr>
  </w:style>
  <w:style w:type="paragraph" w:styleId="Footer">
    <w:name w:val="footer"/>
    <w:basedOn w:val="Normal"/>
    <w:link w:val="Foot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91"/>
    <w:rPr>
      <w:rFonts w:ascii="EC Square Sans Pro" w:hAnsi="EC Square Sans Pro"/>
    </w:rPr>
  </w:style>
  <w:style w:type="paragraph" w:styleId="Revision">
    <w:name w:val="Revision"/>
    <w:hidden/>
    <w:uiPriority w:val="99"/>
    <w:semiHidden/>
    <w:rsid w:val="005850F4"/>
    <w:pPr>
      <w:spacing w:after="0" w:line="240" w:lineRule="auto"/>
    </w:pPr>
    <w:rPr>
      <w:rFonts w:ascii="EC Square Sans Pro" w:hAnsi="EC Square Sans Pro"/>
    </w:rPr>
  </w:style>
  <w:style w:type="character" w:customStyle="1" w:styleId="Heading1Char">
    <w:name w:val="Heading 1 Char"/>
    <w:basedOn w:val="DefaultParagraphFont"/>
    <w:link w:val="Heading1"/>
    <w:uiPriority w:val="9"/>
    <w:rsid w:val="00D453E1"/>
    <w:rPr>
      <w:rFonts w:eastAsiaTheme="majorEastAsia" w:cstheme="minorHAnsi"/>
      <w:b/>
      <w:bCs/>
      <w:color w:val="2E74B5" w:themeColor="accent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edps@edps.europa.e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DATA-PROTECTION-OFFICER@ec.europa.e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d7c9a51-8868-4cc4-b189-61103d00211e">
      <Terms xmlns="http://schemas.microsoft.com/office/infopath/2007/PartnerControls"/>
    </TaxKeywordTaxHTField>
    <TaxCatchAll xmlns="5d7c9a51-8868-4cc4-b189-61103d00211e">
      <Value>1</Value>
    </TaxCatchAll>
    <_dlc_DocId xmlns="5d7c9a51-8868-4cc4-b189-61103d00211e">A188-794015379-4682</_dlc_DocId>
    <_dlc_DocIdUrl xmlns="5d7c9a51-8868-4cc4-b189-61103d00211e">
      <Url>https://workspaces.sante.cec.eu.int/areas/188/050/_layouts/15/DocIdRedir.aspx?ID=A188-794015379-4682</Url>
      <Description>A188-794015379-4682</Description>
    </_dlc_DocIdUrl>
    <SANTEDomainTaxHTField0 xmlns="696e9ab7-1adf-4a2e-b30b-73143cb728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</TermName>
          <TermId xmlns="http://schemas.microsoft.com/office/infopath/2007/PartnerControls">ad4b096b-e5e2-4462-aef2-90bd911c2ecb</TermId>
        </TermInfo>
      </Terms>
    </SANTEDomainTaxHTField0>
    <SANTEDocumentDate xmlns="696e9ab7-1adf-4a2e-b30b-73143cb728da">2022-06-02T22:00:00+00:00</SANTEDocument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EDE6C0A88422BAED8C106DF00215D00782F3BEEA890A845BEABB024F1C711870004624022F8BDCC4DAC466326F713E1F8" ma:contentTypeVersion="4" ma:contentTypeDescription="Shared Document" ma:contentTypeScope="" ma:versionID="5c3a5479aceef9632df1914a12ec22c4">
  <xsd:schema xmlns:xsd="http://www.w3.org/2001/XMLSchema" xmlns:xs="http://www.w3.org/2001/XMLSchema" xmlns:p="http://schemas.microsoft.com/office/2006/metadata/properties" xmlns:ns2="696e9ab7-1adf-4a2e-b30b-73143cb728da" xmlns:ns3="5d7c9a51-8868-4cc4-b189-61103d00211e" xmlns:ns4="4b2c7e8e-b097-4c26-8194-63d5b4d9c008" targetNamespace="http://schemas.microsoft.com/office/2006/metadata/properties" ma:root="true" ma:fieldsID="7f2a9916d7308f43278caf5c137c21e5" ns2:_="" ns3:_="" ns4:_="">
    <xsd:import namespace="696e9ab7-1adf-4a2e-b30b-73143cb728da"/>
    <xsd:import namespace="5d7c9a51-8868-4cc4-b189-61103d00211e"/>
    <xsd:import namespace="4b2c7e8e-b097-4c26-8194-63d5b4d9c008"/>
    <xsd:element name="properties">
      <xsd:complexType>
        <xsd:sequence>
          <xsd:element name="documentManagement">
            <xsd:complexType>
              <xsd:all>
                <xsd:element ref="ns2:SANTEDocumentDate"/>
                <xsd:element ref="ns2:SANTEDomainTaxHTField0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9ab7-1adf-4a2e-b30b-73143cb728da" elementFormDefault="qualified">
    <xsd:import namespace="http://schemas.microsoft.com/office/2006/documentManagement/types"/>
    <xsd:import namespace="http://schemas.microsoft.com/office/infopath/2007/PartnerControls"/>
    <xsd:element name="SANTEDocumentDate" ma:index="8" ma:displayName="Document Date" ma:default="[today]" ma:format="DateOnly" ma:internalName="SANTEDocumentDate">
      <xsd:simpleType>
        <xsd:restriction base="dms:DateTime"/>
      </xsd:simpleType>
    </xsd:element>
    <xsd:element name="SANTEDomainTaxHTField0" ma:index="10" ma:taxonomy="true" ma:internalName="SANTEDomainTaxHTField0" ma:taxonomyFieldName="SANTEDomain" ma:displayName="Workarea" ma:default="" ma:fieldId="{e697ec44-dd8a-4164-bcf5-215ee7c580a1}" ma:taxonomyMulti="true" ma:sspId="0443a01b-d79d-4f0b-a265-41f74190fd92" ma:termSetId="435e1170-dc66-4797-88b2-8b71610677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9a51-8868-4cc4-b189-61103d00211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DG Keywords" ma:fieldId="{23f27201-bee3-471e-b2e7-b64fd8b7ca38}" ma:taxonomyMulti="true" ma:sspId="0443a01b-d79d-4f0b-a265-41f74190fd9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afd9f08-19d5-4228-80fa-90fb0929845f}" ma:internalName="TaxCatchAll" ma:showField="CatchAllData" ma:web="696e9ab7-1adf-4a2e-b30b-73143cb72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fafd9f08-19d5-4228-80fa-90fb0929845f}" ma:internalName="TaxCatchAllLabel" ma:readOnly="true" ma:showField="CatchAllDataLabel" ma:web="696e9ab7-1adf-4a2e-b30b-73143cb72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c7e8e-b097-4c26-8194-63d5b4d9c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443a01b-d79d-4f0b-a265-41f74190fd92" ContentTypeId="0x010100DE1EDE6C0A88422BAED8C106DF00215D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557E8-A42B-41B7-8F78-20C50B29E37B}">
  <ds:schemaRefs>
    <ds:schemaRef ds:uri="http://purl.org/dc/terms/"/>
    <ds:schemaRef ds:uri="696e9ab7-1adf-4a2e-b30b-73143cb728da"/>
    <ds:schemaRef ds:uri="http://schemas.microsoft.com/office/2006/metadata/properties"/>
    <ds:schemaRef ds:uri="5d7c9a51-8868-4cc4-b189-61103d00211e"/>
    <ds:schemaRef ds:uri="http://purl.org/dc/dcmitype/"/>
    <ds:schemaRef ds:uri="4b2c7e8e-b097-4c26-8194-63d5b4d9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0CB898-209F-4D53-B88A-ACF3F3EDC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e9ab7-1adf-4a2e-b30b-73143cb728da"/>
    <ds:schemaRef ds:uri="5d7c9a51-8868-4cc4-b189-61103d00211e"/>
    <ds:schemaRef ds:uri="4b2c7e8e-b097-4c26-8194-63d5b4d9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1814C-B96E-4F6E-A628-D96E02720A4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00E441D-A53F-44EF-9FAA-AB4702ECA5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C4184A-DBA6-4504-956E-D8FE788B71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8D3421A-B69E-4C5B-953E-E05FE1168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883</Words>
  <Characters>5171</Characters>
  <Application>Microsoft Office Word</Application>
  <DocSecurity>0</DocSecurity>
  <Lines>139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Patient Consent Template V4.0 MT</dc:title>
  <dc:subject/>
  <dc:creator>DE SOUSA Joao (SANTE)</dc:creator>
  <cp:keywords/>
  <dc:description/>
  <cp:lastModifiedBy>DE SOUSA Joao (SANTE)</cp:lastModifiedBy>
  <cp:revision>2</cp:revision>
  <cp:lastPrinted>2022-06-03T14:38:00Z</cp:lastPrinted>
  <dcterms:created xsi:type="dcterms:W3CDTF">2024-08-16T05:05:00Z</dcterms:created>
  <dcterms:modified xsi:type="dcterms:W3CDTF">2024-08-16T05:05:00Z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0x010100DE1EDE6C0A88422BAED8C106DF00215D00782F3BEEA890A845BEABB024F1C711870004624022F8BDCC4DAC466326F713E1F8</vt:lpwstr>
  </property>
  <property fmtid="{D5CDD505-2E9C-101B-9397-08002B2CF9AE}" pid="3" name="_dlc_DocIdItemGuid">
    <vt:lpwstr>c95486b3-857d-4b7d-83b6-6aa9b26fd8d0</vt:lpwstr>
  </property>
  <property fmtid="{D5CDD505-2E9C-101B-9397-08002B2CF9AE}" pid="4" name="TaxKeyword">
    <vt:lpwstr/>
  </property>
  <property fmtid="{D5CDD505-2E9C-101B-9397-08002B2CF9AE}" pid="5" name="SANTEDomain">
    <vt:lpwstr>1;#Health|ad4b096b-e5e2-4462-aef2-90bd911c2ecb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2023-09-18T09:41:43Z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17758371-5d61-4c89-a979-90d6b3c2c076</vt:lpwstr>
  </property>
  <property fmtid="{D5CDD505-2E9C-101B-9397-08002B2CF9AE}" pid="12" name="MSIP_Label_6bd9ddd1-4d20-43f6-abfa-fc3c07406f94_ContentBits">
    <vt:lpwstr>0</vt:lpwstr>
  </property>
</Properties>
</file>